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2C3E50"/>
          <w:sz w:val="24"/>
          <w:szCs w:val="24"/>
          <w:lang w:val="uk-UA"/>
        </w:rPr>
        <w:t>ФОП</w:t>
      </w:r>
      <w:r>
        <w:rPr>
          <w:rFonts w:ascii="Times New Roman" w:hAnsi="Times New Roman"/>
          <w:b/>
          <w:color w:val="2C3E50"/>
          <w:sz w:val="24"/>
          <w:szCs w:val="24"/>
        </w:rPr>
        <w:t xml:space="preserve"> «Приголовкіна Вікторія Володимирівна»</w:t>
      </w:r>
    </w:p>
    <w:p>
      <w:pPr>
        <w:pStyle w:val="Normal"/>
        <w:spacing w:before="0" w:after="240"/>
        <w:jc w:val="center"/>
        <w:rPr>
          <w:rFonts w:ascii="Times New Roman" w:hAnsi="Times New Roman"/>
          <w:color w:val="7F8C8D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А</w:t>
      </w:r>
      <w:r>
        <w:rPr>
          <w:rFonts w:ascii="Times New Roman" w:hAnsi="Times New Roman"/>
          <w:b w:val="false"/>
          <w:bCs w:val="false"/>
          <w:color w:val="000000"/>
          <w:sz w:val="20"/>
          <w:szCs w:val="20"/>
        </w:rPr>
        <w:t xml:space="preserve">дреса для листування: м. Київ, пров. Джерельний 4-а, оф. 9 | </w:t>
      </w:r>
    </w:p>
    <w:p>
      <w:pPr>
        <w:pStyle w:val="Normal"/>
        <w:spacing w:before="0" w:after="240"/>
        <w:jc w:val="center"/>
        <w:rPr>
          <w:rFonts w:ascii="Times New Roman" w:hAnsi="Times New Roman"/>
          <w:b w:val="false"/>
          <w:bCs w:val="false"/>
          <w:color w:val="000000"/>
          <w:sz w:val="20"/>
          <w:szCs w:val="20"/>
        </w:rPr>
      </w:pPr>
      <w:r>
        <w:rPr>
          <w:rFonts w:ascii="Times New Roman" w:hAnsi="Times New Roman"/>
          <w:b w:val="false"/>
          <w:bCs w:val="false"/>
          <w:color w:val="000000"/>
          <w:sz w:val="20"/>
          <w:szCs w:val="20"/>
        </w:rPr>
        <w:t xml:space="preserve">Фактична адреса: </w:t>
      </w:r>
      <w:r>
        <w:rPr>
          <w:rFonts w:ascii="Times New Roman" w:hAnsi="Times New Roman"/>
          <w:b w:val="false"/>
          <w:bCs w:val="false"/>
          <w:color w:val="000000"/>
          <w:sz w:val="20"/>
          <w:szCs w:val="20"/>
          <w:lang w:val="uk-UA"/>
        </w:rPr>
        <w:t>с</w:t>
      </w:r>
      <w:r>
        <w:rPr>
          <w:rFonts w:ascii="Times New Roman" w:hAnsi="Times New Roman"/>
          <w:b w:val="false"/>
          <w:bCs w:val="false"/>
          <w:color w:val="000000"/>
          <w:sz w:val="20"/>
          <w:szCs w:val="20"/>
        </w:rPr>
        <w:t xml:space="preserve">. </w:t>
      </w:r>
      <w:r>
        <w:rPr>
          <w:rFonts w:ascii="Times New Roman" w:hAnsi="Times New Roman"/>
          <w:b w:val="false"/>
          <w:bCs w:val="false"/>
          <w:color w:val="000000"/>
          <w:sz w:val="20"/>
          <w:szCs w:val="20"/>
          <w:lang w:val="uk-UA"/>
        </w:rPr>
        <w:t>Гостомель</w:t>
      </w:r>
      <w:r>
        <w:rPr>
          <w:rFonts w:ascii="Times New Roman" w:hAnsi="Times New Roman"/>
          <w:b w:val="false"/>
          <w:bCs w:val="false"/>
          <w:color w:val="000000"/>
          <w:sz w:val="20"/>
          <w:szCs w:val="20"/>
        </w:rPr>
        <w:t xml:space="preserve">, вул. </w:t>
      </w:r>
      <w:r>
        <w:rPr>
          <w:rFonts w:ascii="Times New Roman" w:hAnsi="Times New Roman"/>
          <w:b w:val="false"/>
          <w:bCs w:val="false"/>
          <w:color w:val="000000"/>
          <w:sz w:val="20"/>
          <w:szCs w:val="20"/>
          <w:lang w:val="uk-UA"/>
        </w:rPr>
        <w:t>Мисливська</w:t>
      </w:r>
      <w:r>
        <w:rPr>
          <w:rFonts w:ascii="Times New Roman" w:hAnsi="Times New Roman"/>
          <w:b w:val="false"/>
          <w:bCs w:val="false"/>
          <w:color w:val="000000"/>
          <w:sz w:val="20"/>
          <w:szCs w:val="20"/>
        </w:rPr>
        <w:t xml:space="preserve">, </w:t>
      </w:r>
      <w:r>
        <w:rPr>
          <w:rFonts w:ascii="Times New Roman" w:hAnsi="Times New Roman"/>
          <w:b w:val="false"/>
          <w:bCs w:val="false"/>
          <w:color w:val="000000"/>
          <w:sz w:val="20"/>
          <w:szCs w:val="20"/>
          <w:lang w:val="uk-UA"/>
        </w:rPr>
        <w:t>2</w:t>
      </w:r>
      <w:r>
        <w:rPr>
          <w:rFonts w:ascii="Times New Roman" w:hAnsi="Times New Roman"/>
          <w:b w:val="false"/>
          <w:bCs w:val="false"/>
          <w:color w:val="000000"/>
          <w:sz w:val="20"/>
          <w:szCs w:val="20"/>
        </w:rPr>
        <w:t>4</w:t>
        <w:br/>
        <w:t>Тел: +380664185161, +3809</w:t>
      </w:r>
      <w:r>
        <w:rPr>
          <w:rFonts w:ascii="Times New Roman" w:hAnsi="Times New Roman"/>
          <w:b w:val="false"/>
          <w:bCs w:val="false"/>
          <w:color w:val="000000"/>
          <w:sz w:val="20"/>
          <w:szCs w:val="20"/>
          <w:lang w:val="uk-UA"/>
        </w:rPr>
        <w:t>98928703</w:t>
      </w:r>
      <w:r>
        <w:rPr>
          <w:rFonts w:ascii="Times New Roman" w:hAnsi="Times New Roman"/>
          <w:b w:val="false"/>
          <w:bCs w:val="false"/>
          <w:color w:val="000000"/>
          <w:sz w:val="20"/>
          <w:szCs w:val="20"/>
        </w:rPr>
        <w:t xml:space="preserve"> | ЄДРПОУ: 3520709947 | E-mail: </w:t>
      </w:r>
      <w:r>
        <w:rPr>
          <w:rFonts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mamynikhytroshchi</w:t>
      </w:r>
      <w:r>
        <w:rPr>
          <w:rFonts w:ascii="Times New Roman" w:hAnsi="Times New Roman"/>
          <w:b w:val="false"/>
          <w:bCs w:val="false"/>
          <w:color w:val="000000"/>
          <w:sz w:val="20"/>
          <w:szCs w:val="20"/>
        </w:rPr>
        <w:t>@gmail.com</w:t>
      </w:r>
    </w:p>
    <w:p>
      <w:pPr>
        <w:pStyle w:val="Normal"/>
        <w:spacing w:before="0" w:after="360"/>
        <w:jc w:val="center"/>
        <w:rPr>
          <w:rFonts w:ascii="Times New Roman" w:hAnsi="Times New Roman"/>
          <w:b w:val="false"/>
          <w:bCs w:val="false"/>
          <w:color w:val="000000"/>
          <w:sz w:val="20"/>
          <w:szCs w:val="20"/>
        </w:rPr>
      </w:pPr>
      <w:r>
        <w:rPr>
          <w:rFonts w:ascii="Times New Roman" w:hAnsi="Times New Roman"/>
          <w:b w:val="false"/>
          <w:bCs w:val="false"/>
          <w:color w:val="000000"/>
          <w:sz w:val="20"/>
          <w:szCs w:val="20"/>
        </w:rPr>
        <w:t>_____________________________________________________________________________________</w:t>
      </w:r>
    </w:p>
    <w:p>
      <w:pPr>
        <w:pStyle w:val="Normal"/>
        <w:spacing w:before="0" w:after="8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color w:val="2980B9"/>
          <w:sz w:val="20"/>
          <w:szCs w:val="20"/>
        </w:rPr>
        <w:t>ТЕХНІЧНИЙ ПАСПОРТ</w:t>
      </w:r>
    </w:p>
    <w:p>
      <w:pPr>
        <w:pStyle w:val="Normal"/>
        <w:spacing w:lineRule="exact" w:line="227" w:before="0" w:after="480"/>
        <w:jc w:val="center"/>
        <w:rPr>
          <w:rFonts w:ascii="Times New Roman" w:hAnsi="Times New Roman"/>
          <w:i/>
          <w:i/>
          <w:color w:val="2C3E50"/>
          <w:sz w:val="20"/>
          <w:szCs w:val="20"/>
        </w:rPr>
      </w:pPr>
      <w:r>
        <w:rPr>
          <w:rFonts w:ascii="Times New Roman" w:hAnsi="Times New Roman"/>
          <w:i/>
          <w:color w:val="2C3E50"/>
          <w:sz w:val="20"/>
          <w:szCs w:val="20"/>
        </w:rPr>
        <w:t>Тара полімерна споживча для товарів побутової хімії, парфумерно-косметичної продукції та харчових продуктів</w:t>
      </w:r>
    </w:p>
    <w:p>
      <w:pPr>
        <w:pStyle w:val="Normal"/>
        <w:spacing w:lineRule="exact" w:line="227" w:before="0" w:after="480"/>
        <w:jc w:val="both"/>
        <w:rPr>
          <w:rFonts w:ascii="Times New Roman" w:hAnsi="Times New Roman"/>
          <w:i/>
          <w:i/>
          <w:color w:val="2C3E50"/>
          <w:sz w:val="20"/>
          <w:szCs w:val="20"/>
        </w:rPr>
      </w:pPr>
      <w:r>
        <w:rPr>
          <w:rFonts w:ascii="Times New Roman" w:hAnsi="Times New Roman"/>
          <w:i/>
          <w:color w:val="2C3E50"/>
          <w:sz w:val="20"/>
          <w:szCs w:val="20"/>
        </w:rPr>
        <w:t>Каністри місткістю 5 л. та 10 л.</w:t>
        <w:tab/>
        <w:tab/>
        <w:tab/>
      </w:r>
    </w:p>
    <w:p>
      <w:pPr>
        <w:pStyle w:val="Normal"/>
        <w:spacing w:before="280" w:after="16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color w:val="2980B9"/>
          <w:sz w:val="20"/>
          <w:szCs w:val="20"/>
        </w:rPr>
        <w:t>1. ЗАГАЛЬНІ ВІДОМОСТІ ТА ПАРАМЕТРИ ПРОДУКЦІЇ</w:t>
      </w:r>
    </w:p>
    <w:tbl>
      <w:tblPr>
        <w:tblW w:w="10208" w:type="dxa"/>
        <w:jc w:val="center"/>
        <w:tblInd w:w="0" w:type="dxa"/>
        <w:tblLayout w:type="fixed"/>
        <w:tblCellMar>
          <w:top w:w="100" w:type="dxa"/>
          <w:left w:w="150" w:type="dxa"/>
          <w:bottom w:w="100" w:type="dxa"/>
          <w:right w:w="150" w:type="dxa"/>
        </w:tblCellMar>
        <w:tblLook w:firstRow="1" w:noVBand="1" w:lastRow="0" w:firstColumn="1" w:lastColumn="0" w:noHBand="0" w:val="04a0"/>
      </w:tblPr>
      <w:tblGrid>
        <w:gridCol w:w="4193"/>
        <w:gridCol w:w="6014"/>
      </w:tblGrid>
      <w:tr>
        <w:trPr/>
        <w:tc>
          <w:tcPr>
            <w:tcW w:w="4193" w:type="dxa"/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  <w:shd w:fill="F8F9FA"/>
          </w:tcPr>
          <w:p>
            <w:pPr>
              <w:pStyle w:val="Normal"/>
              <w:spacing w:lineRule="exact" w:line="170"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2C3E50"/>
                <w:sz w:val="20"/>
                <w:szCs w:val="20"/>
              </w:rPr>
              <w:t>Найменування продукції:</w:t>
            </w:r>
          </w:p>
        </w:tc>
        <w:tc>
          <w:tcPr>
            <w:tcW w:w="6014" w:type="dxa"/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pStyle w:val="Normal"/>
              <w:spacing w:lineRule="exact" w:line="170"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2C3E50"/>
                <w:sz w:val="20"/>
                <w:szCs w:val="20"/>
              </w:rPr>
              <w:t>Каністра полімерна 5 л / Каністра полімерна 10 л</w:t>
            </w:r>
          </w:p>
        </w:tc>
      </w:tr>
      <w:tr>
        <w:trPr>
          <w:trHeight w:val="630" w:hRule="atLeast"/>
        </w:trPr>
        <w:tc>
          <w:tcPr>
            <w:tcW w:w="4193" w:type="dxa"/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  <w:shd w:fill="F8F9FA"/>
          </w:tcPr>
          <w:p>
            <w:pPr>
              <w:pStyle w:val="Normal"/>
              <w:spacing w:lineRule="exact" w:line="170"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2C3E50"/>
                <w:sz w:val="20"/>
                <w:szCs w:val="20"/>
              </w:rPr>
              <w:t>Призначення тари:</w:t>
            </w:r>
          </w:p>
        </w:tc>
        <w:tc>
          <w:tcPr>
            <w:tcW w:w="6014" w:type="dxa"/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pStyle w:val="Normal"/>
              <w:spacing w:lineRule="exact" w:line="170"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2C3E50"/>
                <w:sz w:val="20"/>
                <w:szCs w:val="20"/>
              </w:rPr>
              <w:t>Для транспортування та зберігання рідких товарів побутової хімії, парфумерно-косметичних засобів, а також харчових продуктів.</w:t>
            </w:r>
          </w:p>
        </w:tc>
      </w:tr>
      <w:tr>
        <w:trPr/>
        <w:tc>
          <w:tcPr>
            <w:tcW w:w="4193" w:type="dxa"/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  <w:shd w:fill="F8F9FA"/>
          </w:tcPr>
          <w:p>
            <w:pPr>
              <w:pStyle w:val="Normal"/>
              <w:spacing w:lineRule="exact" w:line="170"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2C3E50"/>
                <w:sz w:val="20"/>
                <w:szCs w:val="20"/>
              </w:rPr>
              <w:t>Доступні кольори:</w:t>
            </w:r>
          </w:p>
        </w:tc>
        <w:tc>
          <w:tcPr>
            <w:tcW w:w="6014" w:type="dxa"/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pStyle w:val="Normal"/>
              <w:spacing w:lineRule="exact" w:line="170"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2C3E50"/>
                <w:sz w:val="20"/>
                <w:szCs w:val="20"/>
              </w:rPr>
              <w:t>Натуральний, білий, кольоровий (за індивідуальним погодженням із замовником).</w:t>
            </w:r>
          </w:p>
        </w:tc>
      </w:tr>
      <w:tr>
        <w:trPr/>
        <w:tc>
          <w:tcPr>
            <w:tcW w:w="4193" w:type="dxa"/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  <w:shd w:fill="F8F9FA"/>
          </w:tcPr>
          <w:p>
            <w:pPr>
              <w:pStyle w:val="Normal"/>
              <w:spacing w:lineRule="exact" w:line="170"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2C3E50"/>
                <w:sz w:val="20"/>
                <w:szCs w:val="20"/>
              </w:rPr>
              <w:t>Гарантійний термін зберігання тари:</w:t>
            </w:r>
          </w:p>
        </w:tc>
        <w:tc>
          <w:tcPr>
            <w:tcW w:w="6014" w:type="dxa"/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</w:tcPr>
          <w:p>
            <w:pPr>
              <w:pStyle w:val="Normal"/>
              <w:spacing w:lineRule="exact" w:line="170"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2C3E50"/>
                <w:sz w:val="20"/>
                <w:szCs w:val="20"/>
              </w:rPr>
              <w:t>24 місяці з дати виробництва. Номер партії відповідає даті виробництва.</w:t>
            </w:r>
          </w:p>
        </w:tc>
      </w:tr>
    </w:tbl>
    <w:p>
      <w:pPr>
        <w:pStyle w:val="Normal"/>
        <w:spacing w:before="360" w:after="16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color w:val="2980B9"/>
          <w:sz w:val="20"/>
          <w:szCs w:val="20"/>
        </w:rPr>
        <w:t>2. МАТЕРІАЛИ ТА СИРОВИНА (СКЛАД ВИРОБУ)</w:t>
      </w:r>
    </w:p>
    <w:p>
      <w:pPr>
        <w:pStyle w:val="Normal"/>
        <w:spacing w:before="0" w:after="1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При виготовленні тари для побутової хімії, парфумерно-косметичної та харчової продукції використовуються виключно високоякісні первинні матеріали згідно з чинною нормативною документацією:</w:t>
      </w:r>
    </w:p>
    <w:p>
      <w:pPr>
        <w:pStyle w:val="ListBullet"/>
        <w:numPr>
          <w:ilvl w:val="0"/>
          <w:numId w:val="1"/>
        </w:numPr>
        <w:spacing w:before="0" w:after="60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Гранульовані композиції поліетилену високого тиску (ПВТ) з рецептурами добавок та без них;</w:t>
      </w:r>
    </w:p>
    <w:p>
      <w:pPr>
        <w:pStyle w:val="ListBullet"/>
        <w:numPr>
          <w:ilvl w:val="0"/>
          <w:numId w:val="1"/>
        </w:numPr>
        <w:spacing w:before="0" w:after="60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Гранульовані композиції поліетилену низького тиску (ПНТ) з рецептурами добавок та без них;</w:t>
      </w:r>
    </w:p>
    <w:p>
      <w:pPr>
        <w:pStyle w:val="ListBullet"/>
        <w:numPr>
          <w:ilvl w:val="0"/>
          <w:numId w:val="1"/>
        </w:numPr>
        <w:spacing w:before="0" w:after="60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Суміш композицій поліетилену високого та низького тиску (за необхідності технологічного процесу);</w:t>
      </w:r>
    </w:p>
    <w:p>
      <w:pPr>
        <w:pStyle w:val="ListBullet"/>
        <w:numPr>
          <w:ilvl w:val="0"/>
          <w:numId w:val="1"/>
        </w:numPr>
        <w:spacing w:before="0" w:after="60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Гранульовані полімерні композиції з добавками рецептур стабілізації та фарбування на основі поліпропілену або поліетилену;</w:t>
      </w:r>
    </w:p>
    <w:p>
      <w:pPr>
        <w:pStyle w:val="ListBullet"/>
        <w:numPr>
          <w:ilvl w:val="0"/>
          <w:numId w:val="1"/>
        </w:numPr>
        <w:spacing w:before="0" w:after="60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Поліетилентерефталат (&gt; РЕТ &lt;) у вигляді гранул або преформ відповідних марок;</w:t>
      </w:r>
    </w:p>
    <w:p>
      <w:pPr>
        <w:pStyle w:val="ListBullet"/>
        <w:numPr>
          <w:ilvl w:val="0"/>
          <w:numId w:val="1"/>
        </w:numPr>
        <w:spacing w:before="0" w:after="60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Полістирол гранульований, поліамід, поліпропілен та суперконцентрати пігментів для рівномірного фарбування</w:t>
      </w:r>
      <w:r>
        <w:rPr>
          <w:rFonts w:ascii="Times New Roman" w:hAnsi="Times New Roman"/>
          <w:b/>
          <w:color w:val="2980B9"/>
          <w:sz w:val="20"/>
          <w:szCs w:val="20"/>
        </w:rPr>
        <w:br/>
        <w:br/>
        <w:t>3. ТЕХНІЧНІ ХАРАКТЕРИСТИКИ ТА РЕЗУЛЬТАТИ ВИПРОБУВАНЬ</w:t>
      </w:r>
    </w:p>
    <w:tbl>
      <w:tblPr>
        <w:tblW w:w="10208" w:type="dxa"/>
        <w:jc w:val="center"/>
        <w:tblInd w:w="0" w:type="dxa"/>
        <w:tblLayout w:type="fixed"/>
        <w:tblCellMar>
          <w:top w:w="120" w:type="dxa"/>
          <w:left w:w="100" w:type="dxa"/>
          <w:bottom w:w="120" w:type="dxa"/>
          <w:right w:w="100" w:type="dxa"/>
        </w:tblCellMar>
        <w:tblLook w:firstRow="1" w:noVBand="1" w:lastRow="0" w:firstColumn="1" w:lastColumn="0" w:noHBand="0" w:val="04a0"/>
      </w:tblPr>
      <w:tblGrid>
        <w:gridCol w:w="848"/>
        <w:gridCol w:w="3345"/>
        <w:gridCol w:w="4200"/>
        <w:gridCol w:w="1814"/>
      </w:tblGrid>
      <w:tr>
        <w:trPr>
          <w:trHeight w:val="510" w:hRule="atLeast"/>
        </w:trPr>
        <w:tc>
          <w:tcPr>
            <w:tcW w:w="8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fill="34495E"/>
          </w:tcPr>
          <w:p>
            <w:pPr>
              <w:pStyle w:val="Normal"/>
              <w:spacing w:lineRule="exact" w:line="170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FFFFFF"/>
                <w:sz w:val="20"/>
                <w:szCs w:val="20"/>
              </w:rPr>
              <w:t xml:space="preserve">№ </w:t>
            </w:r>
            <w:r>
              <w:rPr>
                <w:rFonts w:ascii="Times New Roman" w:hAnsi="Times New Roman"/>
                <w:b/>
                <w:color w:val="FFFFFF"/>
                <w:sz w:val="20"/>
                <w:szCs w:val="20"/>
              </w:rPr>
              <w:t>з/п</w:t>
            </w:r>
          </w:p>
        </w:tc>
        <w:tc>
          <w:tcPr>
            <w:tcW w:w="33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fill="34495E"/>
          </w:tcPr>
          <w:p>
            <w:pPr>
              <w:pStyle w:val="Normal"/>
              <w:spacing w:lineRule="exact" w:line="170"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FFFFFF"/>
                <w:sz w:val="20"/>
                <w:szCs w:val="20"/>
              </w:rPr>
              <w:t>Найменування показника</w:t>
            </w:r>
          </w:p>
        </w:tc>
        <w:tc>
          <w:tcPr>
            <w:tcW w:w="4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fill="34495E"/>
          </w:tcPr>
          <w:p>
            <w:pPr>
              <w:pStyle w:val="Normal"/>
              <w:spacing w:lineRule="exact" w:line="170"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FFFFFF"/>
                <w:sz w:val="20"/>
                <w:szCs w:val="20"/>
              </w:rPr>
              <w:t>Нормативні технічні вимоги</w:t>
            </w:r>
          </w:p>
        </w:tc>
        <w:tc>
          <w:tcPr>
            <w:tcW w:w="18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fill="34495E"/>
          </w:tcPr>
          <w:p>
            <w:pPr>
              <w:pStyle w:val="Normal"/>
              <w:spacing w:lineRule="exact" w:line="170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FFFFFF"/>
                <w:sz w:val="20"/>
                <w:szCs w:val="20"/>
              </w:rPr>
              <w:t>Випробуванням встановлено</w:t>
            </w:r>
          </w:p>
        </w:tc>
      </w:tr>
      <w:tr>
        <w:trPr/>
        <w:tc>
          <w:tcPr>
            <w:tcW w:w="8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00" w:type="dxa"/>
              <w:bottom w:w="100" w:type="dxa"/>
            </w:tcMar>
          </w:tcPr>
          <w:p>
            <w:pPr>
              <w:pStyle w:val="Normal"/>
              <w:spacing w:lineRule="exact" w:line="170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2C3E50"/>
                <w:sz w:val="20"/>
                <w:szCs w:val="20"/>
              </w:rPr>
              <w:t>1.</w:t>
            </w:r>
          </w:p>
        </w:tc>
        <w:tc>
          <w:tcPr>
            <w:tcW w:w="33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00" w:type="dxa"/>
              <w:bottom w:w="100" w:type="dxa"/>
            </w:tcMar>
          </w:tcPr>
          <w:p>
            <w:pPr>
              <w:pStyle w:val="Normal"/>
              <w:spacing w:lineRule="exact" w:line="170"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2C3E50"/>
                <w:sz w:val="20"/>
                <w:szCs w:val="20"/>
              </w:rPr>
              <w:t>Зовнішній вигляд та геометрична точність</w:t>
            </w:r>
          </w:p>
        </w:tc>
        <w:tc>
          <w:tcPr>
            <w:tcW w:w="4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00" w:type="dxa"/>
              <w:bottom w:w="100" w:type="dxa"/>
            </w:tcMar>
          </w:tcPr>
          <w:p>
            <w:pPr>
              <w:pStyle w:val="Normal"/>
              <w:spacing w:lineRule="exact" w:line="170"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2C3E50"/>
                <w:sz w:val="20"/>
                <w:szCs w:val="20"/>
              </w:rPr>
              <w:t>Поверхня тари повинна бути чистою, гладкою, без наскрізних отворів, тріщин, відколів, критичних точок барвника, потовщень або видимих смуг. Повністю відповідає затвердженому зразку-еталону.</w:t>
            </w:r>
          </w:p>
        </w:tc>
        <w:tc>
          <w:tcPr>
            <w:tcW w:w="18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00" w:type="dxa"/>
              <w:bottom w:w="100" w:type="dxa"/>
            </w:tcMar>
          </w:tcPr>
          <w:p>
            <w:pPr>
              <w:pStyle w:val="Normal"/>
              <w:spacing w:lineRule="exact" w:line="170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27AE60"/>
                <w:sz w:val="20"/>
                <w:szCs w:val="20"/>
              </w:rPr>
              <w:t>Відповідає</w:t>
            </w:r>
          </w:p>
        </w:tc>
      </w:tr>
      <w:tr>
        <w:trPr/>
        <w:tc>
          <w:tcPr>
            <w:tcW w:w="8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fill="F8F9FA"/>
            <w:tcMar>
              <w:top w:w="100" w:type="dxa"/>
              <w:bottom w:w="100" w:type="dxa"/>
            </w:tcMar>
          </w:tcPr>
          <w:p>
            <w:pPr>
              <w:pStyle w:val="Normal"/>
              <w:spacing w:lineRule="exact" w:line="170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2C3E50"/>
                <w:sz w:val="20"/>
                <w:szCs w:val="20"/>
              </w:rPr>
              <w:t>2.</w:t>
            </w:r>
          </w:p>
        </w:tc>
        <w:tc>
          <w:tcPr>
            <w:tcW w:w="33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fill="F8F9FA"/>
            <w:tcMar>
              <w:top w:w="100" w:type="dxa"/>
              <w:bottom w:w="100" w:type="dxa"/>
            </w:tcMar>
          </w:tcPr>
          <w:p>
            <w:pPr>
              <w:pStyle w:val="Normal"/>
              <w:spacing w:lineRule="exact" w:line="170"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2C3E50"/>
                <w:sz w:val="20"/>
                <w:szCs w:val="20"/>
              </w:rPr>
              <w:t>Герметичність тари та кришки</w:t>
            </w:r>
          </w:p>
        </w:tc>
        <w:tc>
          <w:tcPr>
            <w:tcW w:w="4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fill="F8F9FA"/>
            <w:tcMar>
              <w:top w:w="100" w:type="dxa"/>
              <w:bottom w:w="100" w:type="dxa"/>
            </w:tcMar>
          </w:tcPr>
          <w:p>
            <w:pPr>
              <w:pStyle w:val="Normal"/>
              <w:spacing w:lineRule="exact" w:line="170"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2C3E50"/>
                <w:sz w:val="20"/>
                <w:szCs w:val="20"/>
              </w:rPr>
              <w:t>Тара разом із запірним елементом повинна забезпечувати абсолютну герметичність при випробуванні встановленим статичним методом.</w:t>
            </w:r>
          </w:p>
        </w:tc>
        <w:tc>
          <w:tcPr>
            <w:tcW w:w="18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fill="F8F9FA"/>
            <w:tcMar>
              <w:top w:w="100" w:type="dxa"/>
              <w:bottom w:w="100" w:type="dxa"/>
            </w:tcMar>
          </w:tcPr>
          <w:p>
            <w:pPr>
              <w:pStyle w:val="Normal"/>
              <w:spacing w:lineRule="exact" w:line="170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27AE60"/>
                <w:sz w:val="20"/>
                <w:szCs w:val="20"/>
              </w:rPr>
              <w:t>Відповідає</w:t>
            </w:r>
          </w:p>
        </w:tc>
      </w:tr>
      <w:tr>
        <w:trPr/>
        <w:tc>
          <w:tcPr>
            <w:tcW w:w="8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00" w:type="dxa"/>
              <w:bottom w:w="100" w:type="dxa"/>
            </w:tcMar>
          </w:tcPr>
          <w:p>
            <w:pPr>
              <w:pStyle w:val="Normal"/>
              <w:spacing w:lineRule="exact" w:line="170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2C3E50"/>
                <w:sz w:val="20"/>
                <w:szCs w:val="20"/>
              </w:rPr>
              <w:t>3.</w:t>
            </w:r>
          </w:p>
        </w:tc>
        <w:tc>
          <w:tcPr>
            <w:tcW w:w="33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00" w:type="dxa"/>
              <w:bottom w:w="100" w:type="dxa"/>
            </w:tcMar>
          </w:tcPr>
          <w:p>
            <w:pPr>
              <w:pStyle w:val="Normal"/>
              <w:spacing w:lineRule="exact" w:line="170"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2C3E50"/>
                <w:sz w:val="20"/>
                <w:szCs w:val="20"/>
              </w:rPr>
              <w:t>Міцність при вільному падінні</w:t>
            </w:r>
          </w:p>
        </w:tc>
        <w:tc>
          <w:tcPr>
            <w:tcW w:w="4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00" w:type="dxa"/>
              <w:bottom w:w="100" w:type="dxa"/>
            </w:tcMar>
          </w:tcPr>
          <w:p>
            <w:pPr>
              <w:pStyle w:val="Normal"/>
              <w:spacing w:lineRule="exact" w:line="170"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2C3E50"/>
                <w:sz w:val="20"/>
                <w:szCs w:val="20"/>
              </w:rPr>
              <w:t>Заповнена номінальним об'ємом рідини тара має стабільно витримувати одноразове падіння на жорстку основу (дно) з висоти 0,9 м без руйнувань, деформацій швів та проявів течії.</w:t>
            </w:r>
          </w:p>
        </w:tc>
        <w:tc>
          <w:tcPr>
            <w:tcW w:w="18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00" w:type="dxa"/>
              <w:bottom w:w="100" w:type="dxa"/>
            </w:tcMar>
          </w:tcPr>
          <w:p>
            <w:pPr>
              <w:pStyle w:val="Normal"/>
              <w:spacing w:lineRule="exact" w:line="170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27AE60"/>
                <w:sz w:val="20"/>
                <w:szCs w:val="20"/>
              </w:rPr>
              <w:t>Відповідає</w:t>
            </w:r>
          </w:p>
        </w:tc>
      </w:tr>
      <w:tr>
        <w:trPr>
          <w:trHeight w:val="1796" w:hRule="atLeast"/>
        </w:trPr>
        <w:tc>
          <w:tcPr>
            <w:tcW w:w="8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fill="F8F9FA"/>
            <w:tcMar>
              <w:top w:w="100" w:type="dxa"/>
              <w:bottom w:w="100" w:type="dxa"/>
            </w:tcMar>
          </w:tcPr>
          <w:p>
            <w:pPr>
              <w:pStyle w:val="Normal"/>
              <w:spacing w:lineRule="exact" w:line="170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2C3E50"/>
                <w:sz w:val="20"/>
                <w:szCs w:val="20"/>
              </w:rPr>
              <w:t>4.</w:t>
            </w:r>
          </w:p>
        </w:tc>
        <w:tc>
          <w:tcPr>
            <w:tcW w:w="33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fill="F8F9FA"/>
            <w:tcMar>
              <w:top w:w="100" w:type="dxa"/>
              <w:bottom w:w="100" w:type="dxa"/>
            </w:tcMar>
          </w:tcPr>
          <w:p>
            <w:pPr>
              <w:pStyle w:val="Normal"/>
              <w:spacing w:lineRule="exact" w:line="170"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2C3E50"/>
                <w:sz w:val="20"/>
                <w:szCs w:val="20"/>
              </w:rPr>
              <w:t>Теплостійкість конструкції</w:t>
            </w:r>
          </w:p>
        </w:tc>
        <w:tc>
          <w:tcPr>
            <w:tcW w:w="4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fill="F8F9FA"/>
            <w:tcMar>
              <w:top w:w="100" w:type="dxa"/>
              <w:bottom w:w="100" w:type="dxa"/>
            </w:tcMar>
          </w:tcPr>
          <w:p>
            <w:pPr>
              <w:pStyle w:val="Normal"/>
              <w:spacing w:lineRule="exact" w:line="170"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2C3E50"/>
                <w:sz w:val="20"/>
                <w:szCs w:val="20"/>
              </w:rPr>
              <w:t>Тара не повинна деформуватися чи розтріскуватися; повністю зберігає первинний зовнішній вигляд, інтенсивність забарвлення, геометричні параметри та механічні властивості після витримки в кліматичній камері протягом 2 годин при температурі (40 ± 2) °C.</w:t>
            </w:r>
          </w:p>
        </w:tc>
        <w:tc>
          <w:tcPr>
            <w:tcW w:w="18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fill="F8F9FA"/>
            <w:tcMar>
              <w:top w:w="100" w:type="dxa"/>
              <w:bottom w:w="100" w:type="dxa"/>
            </w:tcMar>
          </w:tcPr>
          <w:p>
            <w:pPr>
              <w:pStyle w:val="Normal"/>
              <w:spacing w:lineRule="exact" w:line="170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27AE60"/>
                <w:sz w:val="20"/>
                <w:szCs w:val="20"/>
              </w:rPr>
              <w:t>Відповідає</w:t>
            </w:r>
          </w:p>
        </w:tc>
      </w:tr>
    </w:tbl>
    <w:p>
      <w:pPr>
        <w:pStyle w:val="Normal"/>
        <w:spacing w:before="360" w:after="16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color w:val="2980B9"/>
          <w:sz w:val="20"/>
          <w:szCs w:val="20"/>
        </w:rPr>
        <w:t>4. ВІДПОВІДНІСТЬ ЗАКОНОДАВСТВУ ТА СЕРТИФІКАЦІЯ</w:t>
      </w:r>
    </w:p>
    <w:p>
      <w:pPr>
        <w:pStyle w:val="Normal"/>
        <w:spacing w:before="0" w:after="16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Продукція виготовляється відповідно до вимог чинного законодавства України, діючих державних стандартів та наступних регламентуючих документів:</w:t>
        <w:br/>
      </w:r>
    </w:p>
    <w:p>
      <w:pPr>
        <w:pStyle w:val="ListBullet"/>
        <w:numPr>
          <w:ilvl w:val="0"/>
          <w:numId w:val="1"/>
        </w:numPr>
        <w:spacing w:before="0" w:after="80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Технічні умови: ТУ У 22.2-32214479-002:2021 та ТУ У 22.2-32214479-003:2021.</w:t>
      </w:r>
    </w:p>
    <w:p>
      <w:pPr>
        <w:pStyle w:val="ListBullet"/>
        <w:numPr>
          <w:ilvl w:val="0"/>
          <w:numId w:val="1"/>
        </w:numPr>
        <w:spacing w:before="0" w:after="80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uk-UA"/>
        </w:rPr>
        <w:t>В</w:t>
      </w:r>
      <w:r>
        <w:rPr>
          <w:rFonts w:ascii="Times New Roman" w:hAnsi="Times New Roman"/>
          <w:sz w:val="20"/>
          <w:szCs w:val="20"/>
        </w:rPr>
        <w:t>исновок Державної санітарно-епідеміологічної експертизи Міністерства охорони здоров'я України № 12.2-18-1/12899 від 29.06.2021 року.</w:t>
      </w:r>
    </w:p>
    <w:p>
      <w:pPr>
        <w:pStyle w:val="ListBullet"/>
        <w:numPr>
          <w:ilvl w:val="0"/>
          <w:numId w:val="1"/>
        </w:numPr>
        <w:spacing w:before="0" w:after="80"/>
        <w:contextualSpacing/>
        <w:rPr>
          <w:rFonts w:ascii="Times New Roman" w:hAnsi="Times New Roman"/>
          <w:b w:val="false"/>
          <w:bCs w:val="false"/>
          <w:sz w:val="20"/>
          <w:szCs w:val="20"/>
        </w:rPr>
      </w:pPr>
      <w:r>
        <w:rPr>
          <w:rFonts w:ascii="Times New Roman" w:hAnsi="Times New Roman"/>
          <w:b w:val="false"/>
          <w:bCs w:val="false"/>
          <w:sz w:val="20"/>
          <w:szCs w:val="20"/>
        </w:rPr>
        <w:t>ПРИМІТКА ЩОДО БЕЗПЕКИ: Продукція офіційно дозволена і сертифікована Міністерством охорони здоров'я України для прямого контакту з харчовими продуктами, питною водою, а також рідкими концентратами харчової та хімічної індустрії.</w:t>
      </w:r>
    </w:p>
    <w:p>
      <w:pPr>
        <w:pStyle w:val="ListBullet"/>
        <w:numPr>
          <w:ilvl w:val="0"/>
          <w:numId w:val="0"/>
        </w:numPr>
        <w:spacing w:before="0" w:after="80"/>
        <w:contextualSpacing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</w:r>
    </w:p>
    <w:p>
      <w:pPr>
        <w:pStyle w:val="ListBullet"/>
        <w:numPr>
          <w:ilvl w:val="0"/>
          <w:numId w:val="0"/>
        </w:numPr>
        <w:spacing w:before="0" w:after="80"/>
        <w:contextualSpacing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</w:r>
    </w:p>
    <w:tbl>
      <w:tblPr>
        <w:tblW w:w="10209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403"/>
        <w:gridCol w:w="3403"/>
        <w:gridCol w:w="3403"/>
      </w:tblGrid>
      <w:tr>
        <w:trPr>
          <w:trHeight w:val="1073" w:hRule="atLeast"/>
        </w:trPr>
        <w:tc>
          <w:tcPr>
            <w:tcW w:w="3403" w:type="dxa"/>
            <w:tcBorders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2C3E50"/>
                <w:sz w:val="20"/>
                <w:szCs w:val="20"/>
              </w:rPr>
              <w:t>Постачальник:</w:t>
              <w:br/>
              <w:t>ФОП Приголовкіна В.В.</w:t>
              <w:br/>
              <w:br/>
            </w:r>
          </w:p>
        </w:tc>
        <w:tc>
          <w:tcPr>
            <w:tcW w:w="3403" w:type="dxa"/>
            <w:tcBorders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7F8C8D"/>
                <w:sz w:val="20"/>
                <w:szCs w:val="20"/>
              </w:rPr>
              <w:br/>
              <w:br/>
              <w:t>__________________</w:t>
              <w:br/>
              <w:t>(підпис)</w:t>
            </w:r>
          </w:p>
        </w:tc>
        <w:tc>
          <w:tcPr>
            <w:tcW w:w="3403" w:type="dxa"/>
            <w:tcBorders/>
          </w:tcPr>
          <w:p>
            <w:pPr>
              <w:pStyle w:val="Normal"/>
              <w:spacing w:before="0" w:after="20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7F8C8D"/>
                <w:sz w:val="20"/>
                <w:szCs w:val="20"/>
              </w:rPr>
              <w:br/>
              <w:br/>
            </w:r>
            <w:r>
              <w:rPr>
                <w:rFonts w:ascii="Times New Roman" w:hAnsi="Times New Roman"/>
                <w:b/>
                <w:i/>
                <w:color w:val="2C3E50"/>
                <w:sz w:val="20"/>
                <w:szCs w:val="20"/>
              </w:rPr>
              <w:t>Дата видачі: 02.06.2026 р.</w:t>
            </w:r>
          </w:p>
        </w:tc>
      </w:tr>
    </w:tbl>
    <w:sectPr>
      <w:type w:val="nextPage"/>
      <w:pgSz w:w="11906" w:h="16838"/>
      <w:pgMar w:left="850" w:right="850" w:gutter="0" w:header="0" w:top="1138" w:footer="0" w:bottom="1138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mbria">
    <w:charset w:val="00"/>
    <w:family w:val="roman"/>
    <w:pitch w:val="variable"/>
  </w:font>
  <w:font w:name="Calibri">
    <w:charset w:val="00"/>
    <w:family w:val="roman"/>
    <w:pitch w:val="variable"/>
  </w:font>
  <w:font w:name="Courier">
    <w:altName w:val="Courier New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Times New Roman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60"/>
  <w:defaultTabStop w:val="720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ＭＳ 明朝" w:cs="" w:asciiTheme="minorHAnsi" w:cstheme="minorBidi" w:eastAsiaTheme="minorEastAsia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76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c693f"/>
    <w:pPr>
      <w:widowControl/>
      <w:bidi w:val="0"/>
      <w:spacing w:lineRule="auto" w:line="276" w:before="0" w:after="200"/>
      <w:jc w:val="left"/>
    </w:pPr>
    <w:rPr>
      <w:rFonts w:ascii="Cambria" w:hAnsi="Cambria" w:eastAsia="ＭＳ 明朝" w:cs="" w:asciiTheme="minorHAnsi" w:cstheme="minorBidi" w:eastAsiaTheme="minorEastAsia" w:hAnsiTheme="minorHAnsi"/>
      <w:color w:val="auto"/>
      <w:kern w:val="0"/>
      <w:sz w:val="22"/>
      <w:szCs w:val="22"/>
      <w:lang w:val="en-US" w:eastAsia="en-US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 w:val="true"/>
      <w:keepLines/>
      <w:spacing w:before="480" w:after="0"/>
      <w:outlineLvl w:val="0"/>
    </w:pPr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 w:val="true"/>
      <w:keepLines/>
      <w:spacing w:before="200" w:after="0"/>
      <w:outlineLvl w:val="1"/>
    </w:pPr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 w:val="true"/>
      <w:keepLines/>
      <w:spacing w:before="200" w:after="0"/>
      <w:outlineLvl w:val="2"/>
    </w:pPr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val="4F81B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 w:val="true"/>
      <w:keepLines/>
      <w:spacing w:before="200" w:after="0"/>
      <w:outlineLvl w:val="3"/>
    </w:pPr>
    <w:rPr>
      <w:rFonts w:ascii="Calibri" w:hAnsi="Calibri" w:eastAsia="ＭＳ ゴシック" w:cs="" w:asciiTheme="majorHAnsi" w:cstheme="majorBidi" w:eastAsiaTheme="majorEastAsia" w:hAnsiTheme="majorHAnsi"/>
      <w:b/>
      <w:bCs/>
      <w:i/>
      <w:iCs/>
      <w:color w:themeColor="accent1" w:val="4F81B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 w:val="true"/>
      <w:keepLines/>
      <w:spacing w:before="200" w:after="0"/>
      <w:outlineLvl w:val="4"/>
    </w:pPr>
    <w:rPr>
      <w:rFonts w:ascii="Calibri" w:hAnsi="Calibri" w:eastAsia="ＭＳ ゴシック" w:cs="" w:asciiTheme="majorHAnsi" w:cstheme="majorBidi" w:eastAsiaTheme="majorEastAsia" w:hAnsiTheme="majorHAnsi"/>
      <w:color w:themeColor="accent1" w:themeShade="7f" w:val="243F6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 w:val="true"/>
      <w:keepLines/>
      <w:spacing w:before="200" w:after="0"/>
      <w:outlineLvl w:val="5"/>
    </w:pPr>
    <w:rPr>
      <w:rFonts w:ascii="Calibri" w:hAnsi="Calibri" w:eastAsia="ＭＳ ゴシック" w:cs="" w:asciiTheme="majorHAnsi" w:cstheme="majorBidi" w:eastAsiaTheme="majorEastAsia" w:hAnsiTheme="majorHAnsi"/>
      <w:i/>
      <w:iCs/>
      <w:color w:themeColor="accent1" w:themeShade="7f" w:val="243F6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 w:val="true"/>
      <w:keepLines/>
      <w:spacing w:before="200" w:after="0"/>
      <w:outlineLvl w:val="6"/>
    </w:pPr>
    <w:rPr>
      <w:rFonts w:ascii="Calibri" w:hAnsi="Calibri" w:eastAsia="ＭＳ ゴシック" w:cs="" w:asciiTheme="majorHAnsi" w:cstheme="majorBidi" w:eastAsiaTheme="majorEastAsia" w:hAnsiTheme="majorHAnsi"/>
      <w:i/>
      <w:iCs/>
      <w:color w:themeColor="text1" w:themeTint="bf" w:val="40404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 w:val="true"/>
      <w:keepLines/>
      <w:spacing w:before="200" w:after="0"/>
      <w:outlineLvl w:val="7"/>
    </w:pPr>
    <w:rPr>
      <w:rFonts w:ascii="Calibri" w:hAnsi="Calibri" w:eastAsia="ＭＳ ゴシック" w:cs="" w:asciiTheme="majorHAnsi" w:cstheme="majorBidi" w:eastAsiaTheme="majorEastAsia" w:hAnsiTheme="majorHAnsi"/>
      <w:color w:themeColor="accent1" w:val="4F81BD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 w:val="true"/>
      <w:keepLines/>
      <w:spacing w:before="200" w:after="0"/>
      <w:outlineLvl w:val="8"/>
    </w:pPr>
    <w:rPr>
      <w:rFonts w:ascii="Calibri" w:hAnsi="Calibri" w:eastAsia="ＭＳ ゴシック" w:cs=""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type="character" w:styleId="HeaderChar" w:customStyle="1">
    <w:name w:val="Header Char"/>
    <w:basedOn w:val="DefaultParagraphFont"/>
    <w:uiPriority w:val="99"/>
    <w:qFormat/>
    <w:rsid w:val="00e618bf"/>
    <w:rPr/>
  </w:style>
  <w:style w:type="character" w:styleId="FooterChar" w:customStyle="1">
    <w:name w:val="Footer Char"/>
    <w:basedOn w:val="DefaultParagraphFont"/>
    <w:uiPriority w:val="99"/>
    <w:qFormat/>
    <w:rsid w:val="00e618bf"/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character" w:styleId="Heading2Char" w:customStyle="1">
    <w:name w:val="Heading 2 Char"/>
    <w:basedOn w:val="DefaultParagraphFont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character" w:styleId="Heading3Char" w:customStyle="1">
    <w:name w:val="Heading 3 Char"/>
    <w:basedOn w:val="DefaultParagraphFont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val="4F81BD"/>
    </w:rPr>
  </w:style>
  <w:style w:type="character" w:styleId="TitleChar" w:customStyle="1">
    <w:name w:val="Title Char"/>
    <w:basedOn w:val="DefaultParagraphFont"/>
    <w:uiPriority w:val="10"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themeColor="text2" w:themeShade="bf" w:val="17365D"/>
      <w:spacing w:val="5"/>
      <w:kern w:val="2"/>
      <w:sz w:val="52"/>
      <w:szCs w:val="52"/>
    </w:rPr>
  </w:style>
  <w:style w:type="character" w:styleId="SubtitleChar" w:customStyle="1">
    <w:name w:val="Subtitle Char"/>
    <w:basedOn w:val="DefaultParagraphFont"/>
    <w:uiPriority w:val="11"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type="character" w:styleId="BodyTextChar" w:customStyle="1">
    <w:name w:val="Body Text Char"/>
    <w:basedOn w:val="DefaultParagraphFont"/>
    <w:uiPriority w:val="99"/>
    <w:qFormat/>
    <w:rsid w:val="00aa1d8d"/>
    <w:rPr/>
  </w:style>
  <w:style w:type="character" w:styleId="BodyText2Char" w:customStyle="1">
    <w:name w:val="Body Text 2 Char"/>
    <w:basedOn w:val="DefaultParagraphFont"/>
    <w:link w:val="BodyText2"/>
    <w:uiPriority w:val="99"/>
    <w:qFormat/>
    <w:rsid w:val="00aa1d8d"/>
    <w:rPr/>
  </w:style>
  <w:style w:type="character" w:styleId="BodyText3Char" w:customStyle="1">
    <w:name w:val="Body Text 3 Char"/>
    <w:basedOn w:val="DefaultParagraphFont"/>
    <w:link w:val="BodyText3"/>
    <w:uiPriority w:val="99"/>
    <w:qFormat/>
    <w:rsid w:val="00aa1d8d"/>
    <w:rPr>
      <w:sz w:val="16"/>
      <w:szCs w:val="16"/>
    </w:rPr>
  </w:style>
  <w:style w:type="character" w:styleId="MacroTextChar" w:customStyle="1">
    <w:name w:val="Macro Text Char"/>
    <w:basedOn w:val="DefaultParagraphFont"/>
    <w:link w:val="MacroText"/>
    <w:uiPriority w:val="99"/>
    <w:qFormat/>
    <w:rsid w:val="0029639d"/>
    <w:rPr>
      <w:rFonts w:ascii="Courier" w:hAnsi="Courier"/>
      <w:sz w:val="20"/>
      <w:szCs w:val="20"/>
    </w:rPr>
  </w:style>
  <w:style w:type="character" w:styleId="QuoteChar" w:customStyle="1">
    <w:name w:val="Quote Char"/>
    <w:basedOn w:val="DefaultParagraphFont"/>
    <w:link w:val="Quote"/>
    <w:uiPriority w:val="29"/>
    <w:qFormat/>
    <w:rsid w:val="00fc693f"/>
    <w:rPr>
      <w:i/>
      <w:iCs/>
      <w:color w:themeColor="text1" w:val="000000"/>
    </w:rPr>
  </w:style>
  <w:style w:type="character" w:styleId="Heading4Char" w:customStyle="1">
    <w:name w:val="Heading 4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i/>
      <w:iCs/>
      <w:color w:themeColor="accent1" w:val="4F81BD"/>
    </w:rPr>
  </w:style>
  <w:style w:type="character" w:styleId="Heading5Char" w:customStyle="1">
    <w:name w:val="Heading 5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themeColor="accent1" w:themeShade="7f" w:val="243F60"/>
    </w:rPr>
  </w:style>
  <w:style w:type="character" w:styleId="Heading6Char" w:customStyle="1">
    <w:name w:val="Heading 6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themeColor="accent1" w:themeShade="7f" w:val="243F60"/>
    </w:rPr>
  </w:style>
  <w:style w:type="character" w:styleId="Heading7Char" w:customStyle="1">
    <w:name w:val="Heading 7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themeColor="text1" w:themeTint="bf" w:val="404040"/>
    </w:rPr>
  </w:style>
  <w:style w:type="character" w:styleId="Heading8Char" w:customStyle="1">
    <w:name w:val="Heading 8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themeColor="accent1" w:val="4F81BD"/>
      <w:sz w:val="20"/>
      <w:szCs w:val="20"/>
    </w:rPr>
  </w:style>
  <w:style w:type="character" w:styleId="Heading9Char" w:customStyle="1">
    <w:name w:val="Heading 9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character" w:styleId="IntenseQuoteChar" w:customStyle="1">
    <w:name w:val="Intense Quote Char"/>
    <w:basedOn w:val="DefaultParagraphFont"/>
    <w:link w:val="IntenseQuote"/>
    <w:uiPriority w:val="30"/>
    <w:qFormat/>
    <w:rsid w:val="00fc693f"/>
    <w:rPr>
      <w:b/>
      <w:bCs/>
      <w:i/>
      <w:iCs/>
      <w:color w:themeColor="accent1" w:val="4F81BD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Style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before="0" w:after="120"/>
    </w:pPr>
    <w:rPr/>
  </w:style>
  <w:style w:type="paragraph" w:styleId="List">
    <w:name w:val="List"/>
    <w:basedOn w:val="Normal"/>
    <w:uiPriority w:val="99"/>
    <w:unhideWhenUsed/>
    <w:rsid w:val="00aa1d8d"/>
    <w:pPr>
      <w:spacing w:before="0" w:after="200"/>
      <w:ind w:hanging="360" w:left="360"/>
      <w:contextualSpacing/>
    </w:pPr>
    <w:rPr/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Rule="auto" w:line="240"/>
    </w:pPr>
    <w:rPr>
      <w:b/>
      <w:bCs/>
      <w:color w:themeColor="accent1" w:val="4F81BD"/>
      <w:sz w:val="18"/>
      <w:szCs w:val="18"/>
    </w:rPr>
  </w:style>
  <w:style w:type="paragraph" w:styleId="Style6">
    <w:name w:val="Указатель"/>
    <w:basedOn w:val="Normal"/>
    <w:qFormat/>
    <w:pPr>
      <w:suppressLineNumbers/>
    </w:pPr>
    <w:rPr>
      <w:rFonts w:cs="Lucida Sans"/>
    </w:rPr>
  </w:style>
  <w:style w:type="paragraph" w:styleId="Style7">
    <w:name w:val="Колонтитулы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NoSpacing">
    <w:name w:val="No Spacing"/>
    <w:uiPriority w:val="1"/>
    <w:qFormat/>
    <w:rsid w:val="00fc693f"/>
    <w:pPr>
      <w:widowControl/>
      <w:bidi w:val="0"/>
      <w:spacing w:lineRule="auto" w:line="240" w:before="0" w:after="0"/>
      <w:jc w:val="left"/>
    </w:pPr>
    <w:rPr>
      <w:rFonts w:ascii="Cambria" w:hAnsi="Cambria" w:eastAsia="ＭＳ 明朝" w:cs="" w:asciiTheme="minorHAnsi" w:cstheme="minorBidi" w:eastAsiaTheme="minorEastAsia" w:hAnsiTheme="minorHAnsi"/>
      <w:color w:val="auto"/>
      <w:kern w:val="0"/>
      <w:sz w:val="22"/>
      <w:szCs w:val="22"/>
      <w:lang w:val="en-US" w:eastAsia="en-US" w:bidi="ar-SA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Rule="auto" w:line="240" w:before="0" w:after="300"/>
      <w:contextualSpacing/>
    </w:pPr>
    <w:rPr>
      <w:rFonts w:ascii="Calibri" w:hAnsi="Calibri" w:eastAsia="ＭＳ ゴシック" w:cs="" w:asciiTheme="majorHAnsi" w:cstheme="majorBidi" w:eastAsiaTheme="majorEastAsia" w:hAnsiTheme="majorHAnsi"/>
      <w:color w:themeColor="text2" w:themeShade="bf" w:val="17365D"/>
      <w:spacing w:val="5"/>
      <w:kern w:val="2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/>
    <w:rPr>
      <w:rFonts w:ascii="Calibri" w:hAnsi="Calibri" w:eastAsia="ＭＳ ゴシック" w:cs=""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spacing w:before="0" w:after="200"/>
      <w:ind w:left="720"/>
      <w:contextualSpacing/>
    </w:pPr>
    <w:rPr/>
  </w:style>
  <w:style w:type="paragraph" w:styleId="BodyText2">
    <w:name w:val="Body Text 2"/>
    <w:basedOn w:val="Normal"/>
    <w:link w:val="BodyText2Char"/>
    <w:uiPriority w:val="99"/>
    <w:unhideWhenUsed/>
    <w:qFormat/>
    <w:rsid w:val="00aa1d8d"/>
    <w:pPr>
      <w:spacing w:lineRule="auto" w:line="480" w:before="0" w:after="120"/>
    </w:pPr>
    <w:rPr/>
  </w:style>
  <w:style w:type="paragraph" w:styleId="BodyText3">
    <w:name w:val="Body Text 3"/>
    <w:basedOn w:val="Normal"/>
    <w:link w:val="BodyText3Char"/>
    <w:uiPriority w:val="99"/>
    <w:unhideWhenUsed/>
    <w:qFormat/>
    <w:rsid w:val="00aa1d8d"/>
    <w:pPr>
      <w:spacing w:before="0" w:after="120"/>
    </w:pPr>
    <w:rPr>
      <w:sz w:val="16"/>
      <w:szCs w:val="16"/>
    </w:rPr>
  </w:style>
  <w:style w:type="paragraph" w:styleId="List2">
    <w:name w:val="List 2"/>
    <w:basedOn w:val="Normal"/>
    <w:uiPriority w:val="99"/>
    <w:unhideWhenUsed/>
    <w:qFormat/>
    <w:rsid w:val="00326f90"/>
    <w:pPr>
      <w:spacing w:before="0" w:after="200"/>
      <w:ind w:hanging="360" w:left="720"/>
      <w:contextualSpacing/>
    </w:pPr>
    <w:rPr/>
  </w:style>
  <w:style w:type="paragraph" w:styleId="List3">
    <w:name w:val="List 3"/>
    <w:basedOn w:val="Normal"/>
    <w:uiPriority w:val="99"/>
    <w:unhideWhenUsed/>
    <w:qFormat/>
    <w:rsid w:val="00326f90"/>
    <w:pPr>
      <w:spacing w:before="0" w:after="200"/>
      <w:ind w:hanging="360" w:left="1080"/>
      <w:contextualSpacing/>
    </w:pPr>
    <w:rPr/>
  </w:style>
  <w:style w:type="paragraph" w:styleId="ListBullet">
    <w:name w:val="List Bullet"/>
    <w:basedOn w:val="Normal"/>
    <w:uiPriority w:val="99"/>
    <w:unhideWhenUsed/>
    <w:rsid w:val="00326f90"/>
    <w:pPr>
      <w:numPr>
        <w:ilvl w:val="0"/>
        <w:numId w:val="1"/>
      </w:numPr>
      <w:spacing w:before="0" w:after="200"/>
      <w:contextualSpacing/>
    </w:pPr>
    <w:rPr/>
  </w:style>
  <w:style w:type="paragraph" w:styleId="ListBullet2">
    <w:name w:val="List Bullet 2"/>
    <w:basedOn w:val="Normal"/>
    <w:uiPriority w:val="99"/>
    <w:unhideWhenUsed/>
    <w:rsid w:val="00326f90"/>
    <w:pPr>
      <w:numPr>
        <w:ilvl w:val="0"/>
        <w:numId w:val="2"/>
      </w:numPr>
      <w:spacing w:before="0" w:after="200"/>
      <w:contextualSpacing/>
    </w:pPr>
    <w:rPr/>
  </w:style>
  <w:style w:type="paragraph" w:styleId="ListBullet3">
    <w:name w:val="List Bullet 3"/>
    <w:basedOn w:val="Normal"/>
    <w:uiPriority w:val="99"/>
    <w:unhideWhenUsed/>
    <w:rsid w:val="00326f90"/>
    <w:pPr>
      <w:numPr>
        <w:ilvl w:val="0"/>
        <w:numId w:val="3"/>
      </w:numPr>
      <w:spacing w:before="0" w:after="200"/>
      <w:contextualSpacing/>
    </w:pPr>
    <w:rPr/>
  </w:style>
  <w:style w:type="paragraph" w:styleId="ListNumber">
    <w:name w:val="List Number"/>
    <w:basedOn w:val="Normal"/>
    <w:uiPriority w:val="99"/>
    <w:unhideWhenUsed/>
    <w:rsid w:val="00326f90"/>
    <w:pPr>
      <w:numPr>
        <w:ilvl w:val="0"/>
        <w:numId w:val="4"/>
      </w:numPr>
      <w:spacing w:before="0" w:after="200"/>
      <w:contextualSpacing/>
    </w:pPr>
    <w:rPr/>
  </w:style>
  <w:style w:type="paragraph" w:styleId="ListNumber2">
    <w:name w:val="List Number 2"/>
    <w:basedOn w:val="Normal"/>
    <w:uiPriority w:val="99"/>
    <w:unhideWhenUsed/>
    <w:rsid w:val="0029639d"/>
    <w:pPr>
      <w:numPr>
        <w:ilvl w:val="0"/>
        <w:numId w:val="5"/>
      </w:numPr>
      <w:spacing w:before="0" w:after="200"/>
      <w:contextualSpacing/>
    </w:pPr>
    <w:rPr/>
  </w:style>
  <w:style w:type="paragraph" w:styleId="ListNumber3">
    <w:name w:val="List Number 3"/>
    <w:basedOn w:val="Normal"/>
    <w:uiPriority w:val="99"/>
    <w:unhideWhenUsed/>
    <w:rsid w:val="0029639d"/>
    <w:pPr>
      <w:numPr>
        <w:ilvl w:val="0"/>
        <w:numId w:val="6"/>
      </w:numPr>
      <w:spacing w:before="0" w:after="200"/>
      <w:contextualSpacing/>
    </w:pPr>
    <w:rPr/>
  </w:style>
  <w:style w:type="paragraph" w:styleId="ListContinue">
    <w:name w:val="List Continue"/>
    <w:basedOn w:val="Normal"/>
    <w:uiPriority w:val="99"/>
    <w:unhideWhenUsed/>
    <w:rsid w:val="0029639d"/>
    <w:pPr>
      <w:spacing w:before="0" w:after="120"/>
      <w:ind w:left="360"/>
      <w:contextualSpacing/>
    </w:pPr>
    <w:rPr/>
  </w:style>
  <w:style w:type="paragraph" w:styleId="ListContinue2">
    <w:name w:val="List Continue 2"/>
    <w:basedOn w:val="Normal"/>
    <w:uiPriority w:val="99"/>
    <w:unhideWhenUsed/>
    <w:rsid w:val="0029639d"/>
    <w:pPr>
      <w:spacing w:before="0" w:after="120"/>
      <w:ind w:left="720"/>
      <w:contextualSpacing/>
    </w:pPr>
    <w:rPr/>
  </w:style>
  <w:style w:type="paragraph" w:styleId="ListContinue3">
    <w:name w:val="List Continue 3"/>
    <w:basedOn w:val="Normal"/>
    <w:uiPriority w:val="99"/>
    <w:unhideWhenUsed/>
    <w:rsid w:val="0029639d"/>
    <w:pPr>
      <w:spacing w:before="0" w:after="120"/>
      <w:ind w:left="1080"/>
      <w:contextualSpacing/>
    </w:pPr>
    <w:rPr/>
  </w:style>
  <w:style w:type="paragraph" w:styleId="MacroText">
    <w:name w:val="macro"/>
    <w:link w:val="MacroTextChar"/>
    <w:uiPriority w:val="99"/>
    <w:unhideWhenUsed/>
    <w:qFormat/>
    <w:rsid w:val="0029639d"/>
    <w:pPr>
      <w:widowControl/>
      <w:tabs>
        <w:tab w:val="clear" w:pos="720"/>
        <w:tab w:val="left" w:pos="576" w:leader="none"/>
        <w:tab w:val="left" w:pos="1152" w:leader="none"/>
        <w:tab w:val="left" w:pos="1728" w:leader="none"/>
        <w:tab w:val="left" w:pos="2304" w:leader="none"/>
        <w:tab w:val="left" w:pos="2880" w:leader="none"/>
        <w:tab w:val="left" w:pos="3456" w:leader="none"/>
        <w:tab w:val="left" w:pos="4032" w:leader="none"/>
      </w:tabs>
      <w:bidi w:val="0"/>
      <w:spacing w:lineRule="auto" w:line="276" w:before="0" w:after="200"/>
      <w:jc w:val="left"/>
    </w:pPr>
    <w:rPr>
      <w:rFonts w:ascii="Courier" w:hAnsi="Courier" w:eastAsia="ＭＳ 明朝" w:cs="" w:cstheme="minorBidi" w:eastAsiaTheme="minorEastAsia"/>
      <w:color w:val="auto"/>
      <w:kern w:val="0"/>
      <w:sz w:val="20"/>
      <w:szCs w:val="20"/>
      <w:lang w:val="en-US" w:eastAsia="en-US" w:bidi="ar-SA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pPr/>
    <w:rPr>
      <w:i/>
      <w:iCs/>
      <w:color w:themeColor="text1" w:val="00000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themeColor="accent1" w:val="4F81BD"/>
    </w:rPr>
  </w:style>
  <w:style w:type="paragraph" w:styleId="IndexHeading">
    <w:name w:val="index heading"/>
    <w:basedOn w:val="Style5"/>
    <w:pPr/>
    <w:rPr/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  <w:rPr/>
  </w:style>
  <w:style w:type="numbering" w:styleId="Style8" w:default="1">
    <w:name w:val="Без списка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404040" w:themeColor="text1" w:sz="8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sz="6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7BA0CD" w:themeColor="accent1" w:sz="8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sz="6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CF7B79" w:themeColor="accent2" w:sz="8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sz="6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B3CC82" w:themeColor="accent3" w:sz="8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sz="6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9F8AB9" w:themeColor="accent4" w:sz="8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sz="6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78C0D4" w:themeColor="accent5" w:sz="8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sz="6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F9B074" w:themeColor="accent6" w:sz="8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sz="6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404040" w:themeColor="tex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BA0CD" w:themeColor="accen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CF7B79" w:themeColor="accent2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B3CC82" w:themeColor="accent3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9F8AB9" w:themeColor="accent4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8C0D4" w:themeColor="accent5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F9B074" w:themeColor="accent6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2C4C74" w:themeColor="accent1" w:sz="4" w:space="0"/>
          <w:insideV w:val="nil"/>
        </w:tcBorders>
        <w:shd w:val="clear" w:color="auto" w:fill="2C4C74" w:themeFill="accent1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772C2A" w:themeColor="accent2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5E7530" w:themeColor="accent3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4C3B62" w:themeColor="accent4" w:sz="4" w:space="0"/>
          <w:insideV w:val="nil"/>
        </w:tcBorders>
        <w:shd w:val="clear" w:color="auto" w:fill="4C3B62" w:themeFill="accent4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276A7C" w:themeColor="accent5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B65608" w:themeColor="accent6" w:sz="4" w:space="0"/>
          <w:insideV w:val="nil"/>
        </w:tcBorders>
        <w:shd w:val="clear" w:color="auto" w:fill="B65608" w:themeFill="accent6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LibreOffice/25.2.7.2$Windows_X86_64 LibreOffice_project/5cbfd1ab6520636bb5f7b99185aa69bd7456825d</Application>
  <AppVersion>15.0000</AppVersion>
  <Pages>2</Pages>
  <Words>426</Words>
  <Characters>3152</Characters>
  <CharactersWithSpaces>3529</CharactersWithSpaces>
  <Paragraphs>52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dc:language>uk-UA</dc:language>
  <cp:lastModifiedBy/>
  <dcterms:modified xsi:type="dcterms:W3CDTF">2026-06-02T13:05:50Z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